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Hypothesis Testing and two group T-test</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Psych/625</w:t>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6, 2019</w:t>
      </w:r>
    </w:p>
    <w:p w:rsidR="00000000" w:rsidDel="00000000" w:rsidP="00000000" w:rsidRDefault="00000000" w:rsidRPr="00000000" w14:paraId="00000004">
      <w:pPr>
        <w:spacing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48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Research question:</w:t>
      </w:r>
    </w:p>
    <w:p w:rsidR="00000000" w:rsidDel="00000000" w:rsidP="00000000" w:rsidRDefault="00000000" w:rsidRPr="00000000" w14:paraId="00000008">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Running influences the pulse rate reading. Using the given data, I want to see if there is any change in the pulse rate reading when it is measured the second time.</w:t>
      </w:r>
    </w:p>
    <w:p w:rsidR="00000000" w:rsidDel="00000000" w:rsidP="00000000" w:rsidRDefault="00000000" w:rsidRPr="00000000" w14:paraId="00000009">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Null Hypothesis: </w:t>
      </w:r>
    </w:p>
    <w:p w:rsidR="00000000" w:rsidDel="00000000" w:rsidP="00000000" w:rsidRDefault="00000000" w:rsidRPr="00000000" w14:paraId="0000000A">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 difference in Pulse rate readings (Pulse 2 - Pulse 1) of people falling under both categories of "ran" are equal.</w:t>
      </w:r>
    </w:p>
    <w:p w:rsidR="00000000" w:rsidDel="00000000" w:rsidP="00000000" w:rsidRDefault="00000000" w:rsidRPr="00000000" w14:paraId="0000000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 (Pulse 2 - Pulse 1) (for ran = 1) = Mean (Pulse 2 - Pulse 1) (for ran = 2)</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H0: µ1 = µ2</w:t>
      </w:r>
    </w:p>
    <w:p w:rsidR="00000000" w:rsidDel="00000000" w:rsidP="00000000" w:rsidRDefault="00000000" w:rsidRPr="00000000" w14:paraId="0000000D">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Alternate Hypothesis: </w:t>
      </w:r>
    </w:p>
    <w:p w:rsidR="00000000" w:rsidDel="00000000" w:rsidP="00000000" w:rsidRDefault="00000000" w:rsidRPr="00000000" w14:paraId="0000000E">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 difference in Pulse rate readings would be different for people who ran and those who sat.</w:t>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Ha: µ1 ≠ µ2</w:t>
      </w:r>
      <w:r w:rsidDel="00000000" w:rsidR="00000000" w:rsidRPr="00000000">
        <w:rPr>
          <w:rtl w:val="0"/>
        </w:rPr>
      </w:r>
    </w:p>
    <w:p w:rsidR="00000000" w:rsidDel="00000000" w:rsidP="00000000" w:rsidRDefault="00000000" w:rsidRPr="00000000" w14:paraId="00000010">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Confidence level: </w:t>
      </w:r>
    </w:p>
    <w:p w:rsidR="00000000" w:rsidDel="00000000" w:rsidP="00000000" w:rsidRDefault="00000000" w:rsidRPr="00000000" w14:paraId="00000011">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Perform the test at a significance level of 0.01</w:t>
      </w:r>
    </w:p>
    <w:p w:rsidR="00000000" w:rsidDel="00000000" w:rsidP="00000000" w:rsidRDefault="00000000" w:rsidRPr="00000000" w14:paraId="00000012">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α = 0.01</w:t>
      </w:r>
    </w:p>
    <w:p w:rsidR="00000000" w:rsidDel="00000000" w:rsidP="00000000" w:rsidRDefault="00000000" w:rsidRPr="00000000" w14:paraId="00000013">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Calculating the test statistic:</w:t>
      </w:r>
    </w:p>
    <w:p w:rsidR="00000000" w:rsidDel="00000000" w:rsidP="00000000" w:rsidRDefault="00000000" w:rsidRPr="00000000" w14:paraId="00000014">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dependent variable (Pulse 2) here is continuous while the independent variable (ran) is categorical with two groups. Both the groups are independent to each other. Since, we are comparing means of two different categories of a variable, independent samples T-test would be appropriate.</w:t>
      </w:r>
    </w:p>
    <w:tbl>
      <w:tblPr>
        <w:tblStyle w:val="Table1"/>
        <w:tblW w:w="4866.0" w:type="dxa"/>
        <w:jc w:val="left"/>
        <w:tblInd w:w="0.0" w:type="dxa"/>
        <w:tblLayout w:type="fixed"/>
        <w:tblLook w:val="0400"/>
      </w:tblPr>
      <w:tblGrid>
        <w:gridCol w:w="2598"/>
        <w:gridCol w:w="1289"/>
        <w:gridCol w:w="979"/>
        <w:tblGridChange w:id="0">
          <w:tblGrid>
            <w:gridCol w:w="2598"/>
            <w:gridCol w:w="1289"/>
            <w:gridCol w:w="979"/>
          </w:tblGrid>
        </w:tblGridChange>
      </w:tblGrid>
      <w:tr>
        <w:trPr>
          <w:trHeight w:val="300" w:hRule="atLeast"/>
        </w:trPr>
        <w:tc>
          <w:tcPr>
            <w:gridSpan w:val="3"/>
            <w:shd w:fill="auto" w:val="clear"/>
            <w:vAlign w:val="bottom"/>
          </w:tcPr>
          <w:p w:rsidR="00000000" w:rsidDel="00000000" w:rsidP="00000000" w:rsidRDefault="00000000" w:rsidRPr="00000000" w14:paraId="00000015">
            <w:pPr>
              <w:spacing w:after="0" w:before="0" w:line="240" w:lineRule="auto"/>
              <w:rPr>
                <w:rFonts w:ascii="Calibri" w:cs="Calibri" w:eastAsia="Calibri" w:hAnsi="Calibri"/>
                <w:color w:val="000000"/>
              </w:rPr>
            </w:pPr>
            <w:r w:rsidDel="00000000" w:rsidR="00000000" w:rsidRPr="00000000">
              <w:rPr>
                <w:color w:val="000000"/>
                <w:rtl w:val="0"/>
              </w:rPr>
              <w:t xml:space="preserve">t-Test: Two-Sample Assuming Equal Variances</w:t>
            </w: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18">
            <w:pPr>
              <w:spacing w:after="0" w:before="0" w:line="240" w:lineRule="auto"/>
              <w:rPr>
                <w:rFonts w:ascii="Calibri" w:cs="Calibri" w:eastAsia="Calibri" w:hAnsi="Calibri"/>
                <w:color w:val="000000"/>
              </w:rPr>
            </w:pPr>
            <w:r w:rsidDel="00000000" w:rsidR="00000000" w:rsidRPr="00000000">
              <w:rPr>
                <w:rtl w:val="0"/>
              </w:rPr>
            </w:r>
          </w:p>
        </w:tc>
        <w:tc>
          <w:tcPr>
            <w:shd w:fill="auto" w:val="clear"/>
            <w:vAlign w:val="bottom"/>
          </w:tcPr>
          <w:p w:rsidR="00000000" w:rsidDel="00000000" w:rsidP="00000000" w:rsidRDefault="00000000" w:rsidRPr="00000000" w14:paraId="00000019">
            <w:pPr>
              <w:spacing w:after="0" w:before="0" w:line="240" w:lineRule="auto"/>
              <w:rPr>
                <w:rFonts w:ascii="Times New Roman" w:cs="Times New Roman" w:eastAsia="Times New Roman" w:hAnsi="Times New Roman"/>
                <w:sz w:val="20"/>
                <w:szCs w:val="20"/>
              </w:rPr>
            </w:pPr>
            <w:r w:rsidDel="00000000" w:rsidR="00000000" w:rsidRPr="00000000">
              <w:rPr>
                <w:rtl w:val="0"/>
              </w:rPr>
            </w:r>
          </w:p>
        </w:tc>
        <w:tc>
          <w:tcPr>
            <w:shd w:fill="auto" w:val="clear"/>
            <w:vAlign w:val="bottom"/>
          </w:tcPr>
          <w:p w:rsidR="00000000" w:rsidDel="00000000" w:rsidP="00000000" w:rsidRDefault="00000000" w:rsidRPr="00000000" w14:paraId="0000001A">
            <w:pPr>
              <w:spacing w:after="0" w:before="0" w:line="240" w:lineRule="auto"/>
              <w:rPr>
                <w:rFonts w:ascii="Times New Roman" w:cs="Times New Roman" w:eastAsia="Times New Roman" w:hAnsi="Times New Roman"/>
                <w:sz w:val="20"/>
                <w:szCs w:val="20"/>
              </w:rPr>
            </w:pPr>
            <w:r w:rsidDel="00000000" w:rsidR="00000000" w:rsidRPr="00000000">
              <w:rPr>
                <w:rtl w:val="0"/>
              </w:rPr>
            </w:r>
          </w:p>
        </w:tc>
      </w:tr>
      <w:tr>
        <w:trPr>
          <w:trHeight w:val="300" w:hRule="atLeast"/>
        </w:trPr>
        <w:tc>
          <w:tcPr>
            <w:tcBorders>
              <w:top w:color="00000a" w:space="0" w:sz="8" w:val="single"/>
              <w:bottom w:color="00000a" w:space="0" w:sz="4" w:val="single"/>
            </w:tcBorders>
            <w:shd w:fill="auto" w:val="clear"/>
            <w:vAlign w:val="bottom"/>
          </w:tcPr>
          <w:p w:rsidR="00000000" w:rsidDel="00000000" w:rsidP="00000000" w:rsidRDefault="00000000" w:rsidRPr="00000000" w14:paraId="0000001B">
            <w:pPr>
              <w:spacing w:after="0" w:before="0" w:line="240" w:lineRule="auto"/>
              <w:jc w:val="center"/>
              <w:rPr>
                <w:rFonts w:ascii="Calibri" w:cs="Calibri" w:eastAsia="Calibri" w:hAnsi="Calibri"/>
                <w:i w:val="1"/>
                <w:color w:val="000000"/>
              </w:rPr>
            </w:pPr>
            <w:r w:rsidDel="00000000" w:rsidR="00000000" w:rsidRPr="00000000">
              <w:rPr>
                <w:i w:val="1"/>
                <w:color w:val="000000"/>
                <w:rtl w:val="0"/>
              </w:rPr>
              <w:t xml:space="preserve"> </w:t>
            </w:r>
            <w:r w:rsidDel="00000000" w:rsidR="00000000" w:rsidRPr="00000000">
              <w:rPr>
                <w:rtl w:val="0"/>
              </w:rPr>
            </w:r>
          </w:p>
        </w:tc>
        <w:tc>
          <w:tcPr>
            <w:tcBorders>
              <w:top w:color="00000a" w:space="0" w:sz="8" w:val="single"/>
              <w:bottom w:color="00000a" w:space="0" w:sz="4" w:val="single"/>
            </w:tcBorders>
            <w:shd w:fill="auto" w:val="clear"/>
            <w:vAlign w:val="bottom"/>
          </w:tcPr>
          <w:p w:rsidR="00000000" w:rsidDel="00000000" w:rsidP="00000000" w:rsidRDefault="00000000" w:rsidRPr="00000000" w14:paraId="0000001C">
            <w:pPr>
              <w:spacing w:after="0" w:before="0" w:line="240" w:lineRule="auto"/>
              <w:jc w:val="center"/>
              <w:rPr>
                <w:rFonts w:ascii="Calibri" w:cs="Calibri" w:eastAsia="Calibri" w:hAnsi="Calibri"/>
                <w:i w:val="1"/>
                <w:color w:val="000000"/>
              </w:rPr>
            </w:pPr>
            <w:r w:rsidDel="00000000" w:rsidR="00000000" w:rsidRPr="00000000">
              <w:rPr>
                <w:i w:val="1"/>
                <w:color w:val="000000"/>
                <w:rtl w:val="0"/>
              </w:rPr>
              <w:t xml:space="preserve">Ran = 1</w:t>
            </w:r>
            <w:r w:rsidDel="00000000" w:rsidR="00000000" w:rsidRPr="00000000">
              <w:rPr>
                <w:rtl w:val="0"/>
              </w:rPr>
            </w:r>
          </w:p>
        </w:tc>
        <w:tc>
          <w:tcPr>
            <w:tcBorders>
              <w:top w:color="00000a" w:space="0" w:sz="8" w:val="single"/>
              <w:bottom w:color="00000a" w:space="0" w:sz="4" w:val="single"/>
            </w:tcBorders>
            <w:shd w:fill="auto" w:val="clear"/>
            <w:vAlign w:val="bottom"/>
          </w:tcPr>
          <w:p w:rsidR="00000000" w:rsidDel="00000000" w:rsidP="00000000" w:rsidRDefault="00000000" w:rsidRPr="00000000" w14:paraId="0000001D">
            <w:pPr>
              <w:spacing w:after="0" w:before="0" w:line="240" w:lineRule="auto"/>
              <w:jc w:val="center"/>
              <w:rPr>
                <w:rFonts w:ascii="Calibri" w:cs="Calibri" w:eastAsia="Calibri" w:hAnsi="Calibri"/>
                <w:i w:val="1"/>
                <w:color w:val="000000"/>
              </w:rPr>
            </w:pPr>
            <w:r w:rsidDel="00000000" w:rsidR="00000000" w:rsidRPr="00000000">
              <w:rPr>
                <w:i w:val="1"/>
                <w:color w:val="000000"/>
                <w:rtl w:val="0"/>
              </w:rPr>
              <w:t xml:space="preserve">Ran = 2</w:t>
            </w: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1E">
            <w:pPr>
              <w:spacing w:after="0" w:before="0" w:line="240" w:lineRule="auto"/>
              <w:rPr>
                <w:rFonts w:ascii="Calibri" w:cs="Calibri" w:eastAsia="Calibri" w:hAnsi="Calibri"/>
                <w:color w:val="000000"/>
              </w:rPr>
            </w:pPr>
            <w:r w:rsidDel="00000000" w:rsidR="00000000" w:rsidRPr="00000000">
              <w:rPr>
                <w:color w:val="000000"/>
                <w:rtl w:val="0"/>
              </w:rPr>
              <w:t xml:space="preserve">Mean</w:t>
            </w:r>
            <w:r w:rsidDel="00000000" w:rsidR="00000000" w:rsidRPr="00000000">
              <w:rPr>
                <w:rtl w:val="0"/>
              </w:rPr>
            </w:r>
          </w:p>
        </w:tc>
        <w:tc>
          <w:tcPr>
            <w:shd w:fill="auto" w:val="clear"/>
            <w:vAlign w:val="bottom"/>
          </w:tcPr>
          <w:p w:rsidR="00000000" w:rsidDel="00000000" w:rsidP="00000000" w:rsidRDefault="00000000" w:rsidRPr="00000000" w14:paraId="0000001F">
            <w:pPr>
              <w:spacing w:after="0" w:before="0" w:line="240" w:lineRule="auto"/>
              <w:jc w:val="right"/>
              <w:rPr>
                <w:rFonts w:ascii="Calibri" w:cs="Calibri" w:eastAsia="Calibri" w:hAnsi="Calibri"/>
                <w:color w:val="000000"/>
              </w:rPr>
            </w:pPr>
            <w:r w:rsidDel="00000000" w:rsidR="00000000" w:rsidRPr="00000000">
              <w:rPr>
                <w:color w:val="000000"/>
                <w:rtl w:val="0"/>
              </w:rPr>
              <w:t xml:space="preserve">52.65</w:t>
            </w:r>
            <w:r w:rsidDel="00000000" w:rsidR="00000000" w:rsidRPr="00000000">
              <w:rPr>
                <w:rtl w:val="0"/>
              </w:rPr>
            </w:r>
          </w:p>
        </w:tc>
        <w:tc>
          <w:tcPr>
            <w:shd w:fill="auto" w:val="clear"/>
            <w:vAlign w:val="bottom"/>
          </w:tcPr>
          <w:p w:rsidR="00000000" w:rsidDel="00000000" w:rsidP="00000000" w:rsidRDefault="00000000" w:rsidRPr="00000000" w14:paraId="00000020">
            <w:pPr>
              <w:spacing w:after="0" w:before="0" w:line="240" w:lineRule="auto"/>
              <w:jc w:val="right"/>
              <w:rPr>
                <w:rFonts w:ascii="Calibri" w:cs="Calibri" w:eastAsia="Calibri" w:hAnsi="Calibri"/>
                <w:color w:val="000000"/>
              </w:rPr>
            </w:pPr>
            <w:r w:rsidDel="00000000" w:rsidR="00000000" w:rsidRPr="00000000">
              <w:rPr>
                <w:color w:val="000000"/>
                <w:rtl w:val="0"/>
              </w:rPr>
              <w:t xml:space="preserve">-0.82857</w:t>
            </w: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21">
            <w:pPr>
              <w:spacing w:after="0" w:before="0" w:line="240" w:lineRule="auto"/>
              <w:rPr>
                <w:rFonts w:ascii="Calibri" w:cs="Calibri" w:eastAsia="Calibri" w:hAnsi="Calibri"/>
                <w:color w:val="000000"/>
              </w:rPr>
            </w:pPr>
            <w:r w:rsidDel="00000000" w:rsidR="00000000" w:rsidRPr="00000000">
              <w:rPr>
                <w:color w:val="000000"/>
                <w:rtl w:val="0"/>
              </w:rPr>
              <w:t xml:space="preserve">Variance</w:t>
            </w:r>
            <w:r w:rsidDel="00000000" w:rsidR="00000000" w:rsidRPr="00000000">
              <w:rPr>
                <w:rtl w:val="0"/>
              </w:rPr>
            </w:r>
          </w:p>
        </w:tc>
        <w:tc>
          <w:tcPr>
            <w:shd w:fill="auto" w:val="clear"/>
            <w:vAlign w:val="bottom"/>
          </w:tcPr>
          <w:p w:rsidR="00000000" w:rsidDel="00000000" w:rsidP="00000000" w:rsidRDefault="00000000" w:rsidRPr="00000000" w14:paraId="00000022">
            <w:pPr>
              <w:spacing w:after="0" w:before="0" w:line="240" w:lineRule="auto"/>
              <w:jc w:val="right"/>
              <w:rPr>
                <w:rFonts w:ascii="Calibri" w:cs="Calibri" w:eastAsia="Calibri" w:hAnsi="Calibri"/>
                <w:color w:val="000000"/>
              </w:rPr>
            </w:pPr>
            <w:r w:rsidDel="00000000" w:rsidR="00000000" w:rsidRPr="00000000">
              <w:rPr>
                <w:color w:val="000000"/>
                <w:rtl w:val="0"/>
              </w:rPr>
              <w:t xml:space="preserve">513.6078947</w:t>
            </w:r>
            <w:r w:rsidDel="00000000" w:rsidR="00000000" w:rsidRPr="00000000">
              <w:rPr>
                <w:rtl w:val="0"/>
              </w:rPr>
            </w:r>
          </w:p>
        </w:tc>
        <w:tc>
          <w:tcPr>
            <w:shd w:fill="auto" w:val="clear"/>
            <w:vAlign w:val="bottom"/>
          </w:tcPr>
          <w:p w:rsidR="00000000" w:rsidDel="00000000" w:rsidP="00000000" w:rsidRDefault="00000000" w:rsidRPr="00000000" w14:paraId="00000023">
            <w:pPr>
              <w:spacing w:after="0" w:before="0" w:line="240" w:lineRule="auto"/>
              <w:jc w:val="right"/>
              <w:rPr>
                <w:rFonts w:ascii="Calibri" w:cs="Calibri" w:eastAsia="Calibri" w:hAnsi="Calibri"/>
                <w:color w:val="000000"/>
              </w:rPr>
            </w:pPr>
            <w:r w:rsidDel="00000000" w:rsidR="00000000" w:rsidRPr="00000000">
              <w:rPr>
                <w:color w:val="000000"/>
                <w:rtl w:val="0"/>
              </w:rPr>
              <w:t xml:space="preserve">15.20504</w:t>
            </w: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24">
            <w:pPr>
              <w:spacing w:after="0" w:before="0" w:line="240" w:lineRule="auto"/>
              <w:rPr>
                <w:rFonts w:ascii="Calibri" w:cs="Calibri" w:eastAsia="Calibri" w:hAnsi="Calibri"/>
                <w:color w:val="000000"/>
              </w:rPr>
            </w:pPr>
            <w:r w:rsidDel="00000000" w:rsidR="00000000" w:rsidRPr="00000000">
              <w:rPr>
                <w:color w:val="000000"/>
                <w:rtl w:val="0"/>
              </w:rPr>
              <w:t xml:space="preserve">Observations</w:t>
            </w:r>
            <w:r w:rsidDel="00000000" w:rsidR="00000000" w:rsidRPr="00000000">
              <w:rPr>
                <w:rtl w:val="0"/>
              </w:rPr>
            </w:r>
          </w:p>
        </w:tc>
        <w:tc>
          <w:tcPr>
            <w:shd w:fill="auto" w:val="clear"/>
            <w:vAlign w:val="bottom"/>
          </w:tcPr>
          <w:p w:rsidR="00000000" w:rsidDel="00000000" w:rsidP="00000000" w:rsidRDefault="00000000" w:rsidRPr="00000000" w14:paraId="00000025">
            <w:pPr>
              <w:spacing w:after="0" w:before="0" w:line="240" w:lineRule="auto"/>
              <w:jc w:val="right"/>
              <w:rPr>
                <w:rFonts w:ascii="Calibri" w:cs="Calibri" w:eastAsia="Calibri" w:hAnsi="Calibri"/>
                <w:color w:val="000000"/>
              </w:rPr>
            </w:pPr>
            <w:r w:rsidDel="00000000" w:rsidR="00000000" w:rsidRPr="00000000">
              <w:rPr>
                <w:color w:val="000000"/>
                <w:rtl w:val="0"/>
              </w:rPr>
              <w:t xml:space="preserve">20</w:t>
            </w:r>
            <w:r w:rsidDel="00000000" w:rsidR="00000000" w:rsidRPr="00000000">
              <w:rPr>
                <w:rtl w:val="0"/>
              </w:rPr>
            </w:r>
          </w:p>
        </w:tc>
        <w:tc>
          <w:tcPr>
            <w:shd w:fill="auto" w:val="clear"/>
            <w:vAlign w:val="bottom"/>
          </w:tcPr>
          <w:p w:rsidR="00000000" w:rsidDel="00000000" w:rsidP="00000000" w:rsidRDefault="00000000" w:rsidRPr="00000000" w14:paraId="00000026">
            <w:pPr>
              <w:spacing w:after="0" w:before="0" w:line="240" w:lineRule="auto"/>
              <w:jc w:val="right"/>
              <w:rPr>
                <w:rFonts w:ascii="Calibri" w:cs="Calibri" w:eastAsia="Calibri" w:hAnsi="Calibri"/>
                <w:color w:val="000000"/>
              </w:rPr>
            </w:pPr>
            <w:r w:rsidDel="00000000" w:rsidR="00000000" w:rsidRPr="00000000">
              <w:rPr>
                <w:color w:val="000000"/>
                <w:rtl w:val="0"/>
              </w:rPr>
              <w:t xml:space="preserve">35</w:t>
            </w: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27">
            <w:pPr>
              <w:spacing w:after="0" w:before="0" w:line="240" w:lineRule="auto"/>
              <w:rPr>
                <w:rFonts w:ascii="Calibri" w:cs="Calibri" w:eastAsia="Calibri" w:hAnsi="Calibri"/>
                <w:color w:val="000000"/>
              </w:rPr>
            </w:pPr>
            <w:r w:rsidDel="00000000" w:rsidR="00000000" w:rsidRPr="00000000">
              <w:rPr>
                <w:color w:val="000000"/>
                <w:rtl w:val="0"/>
              </w:rPr>
              <w:t xml:space="preserve">Pooled Variance</w:t>
            </w:r>
            <w:r w:rsidDel="00000000" w:rsidR="00000000" w:rsidRPr="00000000">
              <w:rPr>
                <w:rtl w:val="0"/>
              </w:rPr>
            </w:r>
          </w:p>
        </w:tc>
        <w:tc>
          <w:tcPr>
            <w:shd w:fill="auto" w:val="clear"/>
            <w:vAlign w:val="bottom"/>
          </w:tcPr>
          <w:p w:rsidR="00000000" w:rsidDel="00000000" w:rsidP="00000000" w:rsidRDefault="00000000" w:rsidRPr="00000000" w14:paraId="00000028">
            <w:pPr>
              <w:spacing w:after="0" w:before="0" w:line="240" w:lineRule="auto"/>
              <w:jc w:val="right"/>
              <w:rPr>
                <w:rFonts w:ascii="Calibri" w:cs="Calibri" w:eastAsia="Calibri" w:hAnsi="Calibri"/>
                <w:color w:val="000000"/>
              </w:rPr>
            </w:pPr>
            <w:r w:rsidDel="00000000" w:rsidR="00000000" w:rsidRPr="00000000">
              <w:rPr>
                <w:color w:val="000000"/>
                <w:rtl w:val="0"/>
              </w:rPr>
              <w:t xml:space="preserve">193.8777628</w:t>
            </w:r>
            <w:r w:rsidDel="00000000" w:rsidR="00000000" w:rsidRPr="00000000">
              <w:rPr>
                <w:rtl w:val="0"/>
              </w:rPr>
            </w:r>
          </w:p>
        </w:tc>
        <w:tc>
          <w:tcPr>
            <w:shd w:fill="auto" w:val="clear"/>
            <w:vAlign w:val="bottom"/>
          </w:tcPr>
          <w:p w:rsidR="00000000" w:rsidDel="00000000" w:rsidP="00000000" w:rsidRDefault="00000000" w:rsidRPr="00000000" w14:paraId="00000029">
            <w:pPr>
              <w:spacing w:after="0" w:before="0" w:line="240" w:lineRule="auto"/>
              <w:jc w:val="right"/>
              <w:rPr>
                <w:rFonts w:ascii="Calibri" w:cs="Calibri" w:eastAsia="Calibri" w:hAnsi="Calibri"/>
                <w:color w:val="000000"/>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2A">
            <w:pPr>
              <w:spacing w:after="0" w:before="0" w:line="240" w:lineRule="auto"/>
              <w:rPr>
                <w:rFonts w:ascii="Calibri" w:cs="Calibri" w:eastAsia="Calibri" w:hAnsi="Calibri"/>
                <w:color w:val="000000"/>
              </w:rPr>
            </w:pPr>
            <w:r w:rsidDel="00000000" w:rsidR="00000000" w:rsidRPr="00000000">
              <w:rPr>
                <w:color w:val="000000"/>
                <w:rtl w:val="0"/>
              </w:rPr>
              <w:t xml:space="preserve">Hypothesized Mean Difference</w:t>
            </w:r>
            <w:r w:rsidDel="00000000" w:rsidR="00000000" w:rsidRPr="00000000">
              <w:rPr>
                <w:rtl w:val="0"/>
              </w:rPr>
            </w:r>
          </w:p>
        </w:tc>
        <w:tc>
          <w:tcPr>
            <w:shd w:fill="auto" w:val="clear"/>
            <w:vAlign w:val="bottom"/>
          </w:tcPr>
          <w:p w:rsidR="00000000" w:rsidDel="00000000" w:rsidP="00000000" w:rsidRDefault="00000000" w:rsidRPr="00000000" w14:paraId="0000002B">
            <w:pPr>
              <w:spacing w:after="0" w:before="0" w:line="240" w:lineRule="auto"/>
              <w:jc w:val="right"/>
              <w:rPr>
                <w:rFonts w:ascii="Calibri" w:cs="Calibri" w:eastAsia="Calibri" w:hAnsi="Calibri"/>
                <w:color w:val="000000"/>
              </w:rPr>
            </w:pPr>
            <w:r w:rsidDel="00000000" w:rsidR="00000000" w:rsidRPr="00000000">
              <w:rPr>
                <w:color w:val="000000"/>
                <w:rtl w:val="0"/>
              </w:rPr>
              <w:t xml:space="preserve">0</w:t>
            </w:r>
            <w:r w:rsidDel="00000000" w:rsidR="00000000" w:rsidRPr="00000000">
              <w:rPr>
                <w:rtl w:val="0"/>
              </w:rPr>
            </w:r>
          </w:p>
        </w:tc>
        <w:tc>
          <w:tcPr>
            <w:shd w:fill="auto" w:val="clear"/>
            <w:vAlign w:val="bottom"/>
          </w:tcPr>
          <w:p w:rsidR="00000000" w:rsidDel="00000000" w:rsidP="00000000" w:rsidRDefault="00000000" w:rsidRPr="00000000" w14:paraId="0000002C">
            <w:pPr>
              <w:spacing w:after="0" w:before="0" w:line="240" w:lineRule="auto"/>
              <w:jc w:val="right"/>
              <w:rPr>
                <w:rFonts w:ascii="Calibri" w:cs="Calibri" w:eastAsia="Calibri" w:hAnsi="Calibri"/>
                <w:color w:val="000000"/>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2D">
            <w:pPr>
              <w:spacing w:after="0" w:before="0" w:line="240" w:lineRule="auto"/>
              <w:rPr>
                <w:rFonts w:ascii="Calibri" w:cs="Calibri" w:eastAsia="Calibri" w:hAnsi="Calibri"/>
                <w:color w:val="000000"/>
              </w:rPr>
            </w:pPr>
            <w:r w:rsidDel="00000000" w:rsidR="00000000" w:rsidRPr="00000000">
              <w:rPr>
                <w:color w:val="000000"/>
                <w:rtl w:val="0"/>
              </w:rPr>
              <w:t xml:space="preserve">df</w:t>
            </w:r>
            <w:r w:rsidDel="00000000" w:rsidR="00000000" w:rsidRPr="00000000">
              <w:rPr>
                <w:rtl w:val="0"/>
              </w:rPr>
            </w:r>
          </w:p>
        </w:tc>
        <w:tc>
          <w:tcPr>
            <w:shd w:fill="auto" w:val="clear"/>
            <w:vAlign w:val="bottom"/>
          </w:tcPr>
          <w:p w:rsidR="00000000" w:rsidDel="00000000" w:rsidP="00000000" w:rsidRDefault="00000000" w:rsidRPr="00000000" w14:paraId="0000002E">
            <w:pPr>
              <w:spacing w:after="0" w:before="0" w:line="240" w:lineRule="auto"/>
              <w:jc w:val="right"/>
              <w:rPr>
                <w:rFonts w:ascii="Calibri" w:cs="Calibri" w:eastAsia="Calibri" w:hAnsi="Calibri"/>
                <w:color w:val="000000"/>
              </w:rPr>
            </w:pPr>
            <w:r w:rsidDel="00000000" w:rsidR="00000000" w:rsidRPr="00000000">
              <w:rPr>
                <w:color w:val="000000"/>
                <w:rtl w:val="0"/>
              </w:rPr>
              <w:t xml:space="preserve">53</w:t>
            </w:r>
            <w:r w:rsidDel="00000000" w:rsidR="00000000" w:rsidRPr="00000000">
              <w:rPr>
                <w:rtl w:val="0"/>
              </w:rPr>
            </w:r>
          </w:p>
        </w:tc>
        <w:tc>
          <w:tcPr>
            <w:shd w:fill="auto" w:val="clear"/>
            <w:vAlign w:val="bottom"/>
          </w:tcPr>
          <w:p w:rsidR="00000000" w:rsidDel="00000000" w:rsidP="00000000" w:rsidRDefault="00000000" w:rsidRPr="00000000" w14:paraId="0000002F">
            <w:pPr>
              <w:spacing w:after="0" w:before="0" w:line="240" w:lineRule="auto"/>
              <w:jc w:val="right"/>
              <w:rPr>
                <w:rFonts w:ascii="Calibri" w:cs="Calibri" w:eastAsia="Calibri" w:hAnsi="Calibri"/>
                <w:color w:val="000000"/>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30">
            <w:pPr>
              <w:spacing w:after="0" w:before="0" w:line="240" w:lineRule="auto"/>
              <w:rPr>
                <w:rFonts w:ascii="Calibri" w:cs="Calibri" w:eastAsia="Calibri" w:hAnsi="Calibri"/>
                <w:color w:val="000000"/>
              </w:rPr>
            </w:pPr>
            <w:r w:rsidDel="00000000" w:rsidR="00000000" w:rsidRPr="00000000">
              <w:rPr>
                <w:color w:val="000000"/>
                <w:rtl w:val="0"/>
              </w:rPr>
              <w:t xml:space="preserve">t Stat</w:t>
            </w:r>
            <w:r w:rsidDel="00000000" w:rsidR="00000000" w:rsidRPr="00000000">
              <w:rPr>
                <w:rtl w:val="0"/>
              </w:rPr>
            </w:r>
          </w:p>
        </w:tc>
        <w:tc>
          <w:tcPr>
            <w:shd w:fill="auto" w:val="clear"/>
            <w:vAlign w:val="bottom"/>
          </w:tcPr>
          <w:p w:rsidR="00000000" w:rsidDel="00000000" w:rsidP="00000000" w:rsidRDefault="00000000" w:rsidRPr="00000000" w14:paraId="00000031">
            <w:pPr>
              <w:spacing w:after="0" w:before="0" w:line="240" w:lineRule="auto"/>
              <w:jc w:val="right"/>
              <w:rPr>
                <w:rFonts w:ascii="Calibri" w:cs="Calibri" w:eastAsia="Calibri" w:hAnsi="Calibri"/>
                <w:color w:val="000000"/>
              </w:rPr>
            </w:pPr>
            <w:r w:rsidDel="00000000" w:rsidR="00000000" w:rsidRPr="00000000">
              <w:rPr>
                <w:color w:val="000000"/>
                <w:rtl w:val="0"/>
              </w:rPr>
              <w:t xml:space="preserve">13.70198453</w:t>
            </w:r>
            <w:r w:rsidDel="00000000" w:rsidR="00000000" w:rsidRPr="00000000">
              <w:rPr>
                <w:rtl w:val="0"/>
              </w:rPr>
            </w:r>
          </w:p>
        </w:tc>
        <w:tc>
          <w:tcPr>
            <w:shd w:fill="auto" w:val="clear"/>
            <w:vAlign w:val="bottom"/>
          </w:tcPr>
          <w:p w:rsidR="00000000" w:rsidDel="00000000" w:rsidP="00000000" w:rsidRDefault="00000000" w:rsidRPr="00000000" w14:paraId="00000032">
            <w:pPr>
              <w:spacing w:after="0" w:before="0" w:line="240" w:lineRule="auto"/>
              <w:jc w:val="right"/>
              <w:rPr>
                <w:rFonts w:ascii="Calibri" w:cs="Calibri" w:eastAsia="Calibri" w:hAnsi="Calibri"/>
                <w:color w:val="000000"/>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33">
            <w:pPr>
              <w:spacing w:after="0" w:before="0" w:line="240" w:lineRule="auto"/>
              <w:rPr>
                <w:rFonts w:ascii="Calibri" w:cs="Calibri" w:eastAsia="Calibri" w:hAnsi="Calibri"/>
                <w:color w:val="000000"/>
              </w:rPr>
            </w:pPr>
            <w:r w:rsidDel="00000000" w:rsidR="00000000" w:rsidRPr="00000000">
              <w:rPr>
                <w:color w:val="000000"/>
                <w:rtl w:val="0"/>
              </w:rPr>
              <w:t xml:space="preserve">P(T&lt;=t) one-tail</w:t>
            </w:r>
            <w:r w:rsidDel="00000000" w:rsidR="00000000" w:rsidRPr="00000000">
              <w:rPr>
                <w:rtl w:val="0"/>
              </w:rPr>
            </w:r>
          </w:p>
        </w:tc>
        <w:tc>
          <w:tcPr>
            <w:shd w:fill="auto" w:val="clear"/>
            <w:vAlign w:val="bottom"/>
          </w:tcPr>
          <w:p w:rsidR="00000000" w:rsidDel="00000000" w:rsidP="00000000" w:rsidRDefault="00000000" w:rsidRPr="00000000" w14:paraId="00000034">
            <w:pPr>
              <w:spacing w:after="0" w:before="0" w:line="240" w:lineRule="auto"/>
              <w:jc w:val="right"/>
              <w:rPr>
                <w:rFonts w:ascii="Calibri" w:cs="Calibri" w:eastAsia="Calibri" w:hAnsi="Calibri"/>
                <w:color w:val="000000"/>
              </w:rPr>
            </w:pPr>
            <w:r w:rsidDel="00000000" w:rsidR="00000000" w:rsidRPr="00000000">
              <w:rPr>
                <w:color w:val="000000"/>
                <w:rtl w:val="0"/>
              </w:rPr>
              <w:t xml:space="preserve">2.34741E-19</w:t>
            </w:r>
            <w:r w:rsidDel="00000000" w:rsidR="00000000" w:rsidRPr="00000000">
              <w:rPr>
                <w:rtl w:val="0"/>
              </w:rPr>
            </w:r>
          </w:p>
        </w:tc>
        <w:tc>
          <w:tcPr>
            <w:shd w:fill="auto" w:val="clear"/>
            <w:vAlign w:val="bottom"/>
          </w:tcPr>
          <w:p w:rsidR="00000000" w:rsidDel="00000000" w:rsidP="00000000" w:rsidRDefault="00000000" w:rsidRPr="00000000" w14:paraId="00000035">
            <w:pPr>
              <w:spacing w:after="0" w:before="0" w:line="240" w:lineRule="auto"/>
              <w:jc w:val="right"/>
              <w:rPr>
                <w:rFonts w:ascii="Calibri" w:cs="Calibri" w:eastAsia="Calibri" w:hAnsi="Calibri"/>
                <w:color w:val="000000"/>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36">
            <w:pPr>
              <w:spacing w:after="0" w:before="0" w:line="240" w:lineRule="auto"/>
              <w:rPr>
                <w:rFonts w:ascii="Calibri" w:cs="Calibri" w:eastAsia="Calibri" w:hAnsi="Calibri"/>
                <w:color w:val="000000"/>
              </w:rPr>
            </w:pPr>
            <w:r w:rsidDel="00000000" w:rsidR="00000000" w:rsidRPr="00000000">
              <w:rPr>
                <w:color w:val="000000"/>
                <w:rtl w:val="0"/>
              </w:rPr>
              <w:t xml:space="preserve">t Critical one-tail</w:t>
            </w:r>
            <w:r w:rsidDel="00000000" w:rsidR="00000000" w:rsidRPr="00000000">
              <w:rPr>
                <w:rtl w:val="0"/>
              </w:rPr>
            </w:r>
          </w:p>
        </w:tc>
        <w:tc>
          <w:tcPr>
            <w:shd w:fill="auto" w:val="clear"/>
            <w:vAlign w:val="bottom"/>
          </w:tcPr>
          <w:p w:rsidR="00000000" w:rsidDel="00000000" w:rsidP="00000000" w:rsidRDefault="00000000" w:rsidRPr="00000000" w14:paraId="00000037">
            <w:pPr>
              <w:spacing w:after="0" w:before="0" w:line="240" w:lineRule="auto"/>
              <w:jc w:val="right"/>
              <w:rPr>
                <w:rFonts w:ascii="Calibri" w:cs="Calibri" w:eastAsia="Calibri" w:hAnsi="Calibri"/>
                <w:color w:val="000000"/>
              </w:rPr>
            </w:pPr>
            <w:r w:rsidDel="00000000" w:rsidR="00000000" w:rsidRPr="00000000">
              <w:rPr>
                <w:color w:val="000000"/>
                <w:rtl w:val="0"/>
              </w:rPr>
              <w:t xml:space="preserve">2.398789836</w:t>
            </w:r>
            <w:r w:rsidDel="00000000" w:rsidR="00000000" w:rsidRPr="00000000">
              <w:rPr>
                <w:rtl w:val="0"/>
              </w:rPr>
            </w:r>
          </w:p>
        </w:tc>
        <w:tc>
          <w:tcPr>
            <w:shd w:fill="auto" w:val="clear"/>
            <w:vAlign w:val="bottom"/>
          </w:tcPr>
          <w:p w:rsidR="00000000" w:rsidDel="00000000" w:rsidP="00000000" w:rsidRDefault="00000000" w:rsidRPr="00000000" w14:paraId="00000038">
            <w:pPr>
              <w:spacing w:after="0" w:before="0" w:line="240" w:lineRule="auto"/>
              <w:jc w:val="right"/>
              <w:rPr>
                <w:rFonts w:ascii="Calibri" w:cs="Calibri" w:eastAsia="Calibri" w:hAnsi="Calibri"/>
                <w:color w:val="000000"/>
              </w:rPr>
            </w:pPr>
            <w:r w:rsidDel="00000000" w:rsidR="00000000" w:rsidRPr="00000000">
              <w:rPr>
                <w:rtl w:val="0"/>
              </w:rPr>
            </w:r>
          </w:p>
        </w:tc>
      </w:tr>
      <w:tr>
        <w:trPr>
          <w:trHeight w:val="300" w:hRule="atLeast"/>
        </w:trPr>
        <w:tc>
          <w:tcPr>
            <w:shd w:fill="auto" w:val="clear"/>
            <w:vAlign w:val="bottom"/>
          </w:tcPr>
          <w:p w:rsidR="00000000" w:rsidDel="00000000" w:rsidP="00000000" w:rsidRDefault="00000000" w:rsidRPr="00000000" w14:paraId="00000039">
            <w:pPr>
              <w:spacing w:after="0" w:before="0" w:line="240" w:lineRule="auto"/>
              <w:rPr>
                <w:rFonts w:ascii="Calibri" w:cs="Calibri" w:eastAsia="Calibri" w:hAnsi="Calibri"/>
                <w:color w:val="000000"/>
              </w:rPr>
            </w:pPr>
            <w:r w:rsidDel="00000000" w:rsidR="00000000" w:rsidRPr="00000000">
              <w:rPr>
                <w:color w:val="000000"/>
                <w:rtl w:val="0"/>
              </w:rPr>
              <w:t xml:space="preserve">P(T&lt;=t) two-tail</w:t>
            </w:r>
            <w:r w:rsidDel="00000000" w:rsidR="00000000" w:rsidRPr="00000000">
              <w:rPr>
                <w:rtl w:val="0"/>
              </w:rPr>
            </w:r>
          </w:p>
        </w:tc>
        <w:tc>
          <w:tcPr>
            <w:shd w:fill="auto" w:val="clear"/>
            <w:vAlign w:val="bottom"/>
          </w:tcPr>
          <w:p w:rsidR="00000000" w:rsidDel="00000000" w:rsidP="00000000" w:rsidRDefault="00000000" w:rsidRPr="00000000" w14:paraId="0000003A">
            <w:pPr>
              <w:spacing w:after="0" w:before="0" w:line="240" w:lineRule="auto"/>
              <w:jc w:val="right"/>
              <w:rPr>
                <w:rFonts w:ascii="Calibri" w:cs="Calibri" w:eastAsia="Calibri" w:hAnsi="Calibri"/>
                <w:color w:val="000000"/>
              </w:rPr>
            </w:pPr>
            <w:r w:rsidDel="00000000" w:rsidR="00000000" w:rsidRPr="00000000">
              <w:rPr>
                <w:color w:val="000000"/>
                <w:rtl w:val="0"/>
              </w:rPr>
              <w:t xml:space="preserve">4.69481E-19</w:t>
            </w:r>
            <w:r w:rsidDel="00000000" w:rsidR="00000000" w:rsidRPr="00000000">
              <w:rPr>
                <w:rtl w:val="0"/>
              </w:rPr>
            </w:r>
          </w:p>
        </w:tc>
        <w:tc>
          <w:tcPr>
            <w:shd w:fill="auto" w:val="clear"/>
            <w:vAlign w:val="bottom"/>
          </w:tcPr>
          <w:p w:rsidR="00000000" w:rsidDel="00000000" w:rsidP="00000000" w:rsidRDefault="00000000" w:rsidRPr="00000000" w14:paraId="0000003B">
            <w:pPr>
              <w:spacing w:after="0" w:before="0" w:line="240" w:lineRule="auto"/>
              <w:jc w:val="right"/>
              <w:rPr>
                <w:rFonts w:ascii="Calibri" w:cs="Calibri" w:eastAsia="Calibri" w:hAnsi="Calibri"/>
                <w:color w:val="000000"/>
              </w:rPr>
            </w:pPr>
            <w:r w:rsidDel="00000000" w:rsidR="00000000" w:rsidRPr="00000000">
              <w:rPr>
                <w:rtl w:val="0"/>
              </w:rPr>
            </w:r>
          </w:p>
        </w:tc>
      </w:tr>
      <w:tr>
        <w:trPr>
          <w:trHeight w:val="300" w:hRule="atLeast"/>
        </w:trPr>
        <w:tc>
          <w:tcPr>
            <w:tcBorders>
              <w:bottom w:color="00000a" w:space="0" w:sz="8" w:val="single"/>
            </w:tcBorders>
            <w:shd w:fill="auto" w:val="clear"/>
            <w:vAlign w:val="bottom"/>
          </w:tcPr>
          <w:p w:rsidR="00000000" w:rsidDel="00000000" w:rsidP="00000000" w:rsidRDefault="00000000" w:rsidRPr="00000000" w14:paraId="0000003C">
            <w:pPr>
              <w:spacing w:after="0" w:before="0" w:line="240" w:lineRule="auto"/>
              <w:rPr>
                <w:rFonts w:ascii="Calibri" w:cs="Calibri" w:eastAsia="Calibri" w:hAnsi="Calibri"/>
                <w:color w:val="000000"/>
              </w:rPr>
            </w:pPr>
            <w:r w:rsidDel="00000000" w:rsidR="00000000" w:rsidRPr="00000000">
              <w:rPr>
                <w:color w:val="000000"/>
                <w:rtl w:val="0"/>
              </w:rPr>
              <w:t xml:space="preserve">t Critical two-tail</w:t>
            </w:r>
            <w:r w:rsidDel="00000000" w:rsidR="00000000" w:rsidRPr="00000000">
              <w:rPr>
                <w:rtl w:val="0"/>
              </w:rPr>
            </w:r>
          </w:p>
        </w:tc>
        <w:tc>
          <w:tcPr>
            <w:tcBorders>
              <w:bottom w:color="00000a" w:space="0" w:sz="8" w:val="single"/>
            </w:tcBorders>
            <w:shd w:fill="auto" w:val="clear"/>
            <w:vAlign w:val="bottom"/>
          </w:tcPr>
          <w:p w:rsidR="00000000" w:rsidDel="00000000" w:rsidP="00000000" w:rsidRDefault="00000000" w:rsidRPr="00000000" w14:paraId="0000003D">
            <w:pPr>
              <w:spacing w:after="0" w:before="0" w:line="240" w:lineRule="auto"/>
              <w:jc w:val="right"/>
              <w:rPr>
                <w:rFonts w:ascii="Calibri" w:cs="Calibri" w:eastAsia="Calibri" w:hAnsi="Calibri"/>
                <w:color w:val="000000"/>
              </w:rPr>
            </w:pPr>
            <w:r w:rsidDel="00000000" w:rsidR="00000000" w:rsidRPr="00000000">
              <w:rPr>
                <w:color w:val="000000"/>
                <w:rtl w:val="0"/>
              </w:rPr>
              <w:t xml:space="preserve">2.671822636</w:t>
            </w:r>
            <w:r w:rsidDel="00000000" w:rsidR="00000000" w:rsidRPr="00000000">
              <w:rPr>
                <w:rtl w:val="0"/>
              </w:rPr>
            </w:r>
          </w:p>
        </w:tc>
        <w:tc>
          <w:tcPr>
            <w:tcBorders>
              <w:bottom w:color="00000a" w:space="0" w:sz="8" w:val="single"/>
            </w:tcBorders>
            <w:shd w:fill="auto" w:val="clear"/>
            <w:vAlign w:val="bottom"/>
          </w:tcPr>
          <w:p w:rsidR="00000000" w:rsidDel="00000000" w:rsidP="00000000" w:rsidRDefault="00000000" w:rsidRPr="00000000" w14:paraId="0000003E">
            <w:pPr>
              <w:spacing w:after="0" w:before="0" w:line="240" w:lineRule="auto"/>
              <w:rPr>
                <w:rFonts w:ascii="Calibri" w:cs="Calibri" w:eastAsia="Calibri" w:hAnsi="Calibri"/>
                <w:color w:val="000000"/>
              </w:rPr>
            </w:pPr>
            <w:r w:rsidDel="00000000" w:rsidR="00000000" w:rsidRPr="00000000">
              <w:rPr>
                <w:color w:val="000000"/>
                <w:rtl w:val="0"/>
              </w:rPr>
              <w:t xml:space="preserve"> </w:t>
            </w:r>
            <w:r w:rsidDel="00000000" w:rsidR="00000000" w:rsidRPr="00000000">
              <w:rPr>
                <w:rtl w:val="0"/>
              </w:rPr>
            </w:r>
          </w:p>
        </w:tc>
      </w:tr>
    </w:tbl>
    <w:p w:rsidR="00000000" w:rsidDel="00000000" w:rsidP="00000000" w:rsidRDefault="00000000" w:rsidRPr="00000000" w14:paraId="0000003F">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041">
      <w:pPr>
        <w:spacing w:after="160" w:before="0" w:line="480" w:lineRule="auto"/>
        <w:ind w:firstLine="720"/>
        <w:jc w:val="both"/>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According to Jackson (2017), an independent group t-test is a parametric statistical test that compares the performance of two different samples of participants. It indicates whether the two samples perform so similarly that we conclude that they are likely from the same population, or whether they perform so differently that we conclude that they represent two different populations. It is a two-tailed test since the null hypothesis assumes only inequality and does not specify any direction. The corresponding p-value is close to 0. At 0.01 significance level, since p &lt; α, null hypothesis can be rejected. At 99% confidence level, the means are not equal for both the groups (ran = 1 and ran = 2). Hence, it can be concluded that running influences the pulse rate reading. This can also be observed from the raw data which shows very high values of Pulse 2 for those who ran before taking the second reading. The T-test confirms this at a confidence level of 99%.</w:t>
      </w:r>
      <w:r w:rsidDel="00000000" w:rsidR="00000000" w:rsidRPr="00000000">
        <w:rPr>
          <w:rtl w:val="0"/>
        </w:rPr>
      </w:r>
    </w:p>
    <w:p w:rsidR="00000000" w:rsidDel="00000000" w:rsidP="00000000" w:rsidRDefault="00000000" w:rsidRPr="00000000" w14:paraId="00000042">
      <w:pPr>
        <w:spacing w:after="160" w:before="0" w:line="480" w:lineRule="auto"/>
        <w:jc w:val="both"/>
        <w:rPr/>
      </w:pPr>
      <w:r w:rsidDel="00000000" w:rsidR="00000000" w:rsidRPr="00000000">
        <w:rPr>
          <w:rFonts w:ascii="Times New Roman" w:cs="Times New Roman" w:eastAsia="Times New Roman" w:hAnsi="Times New Roman"/>
          <w:sz w:val="24"/>
          <w:szCs w:val="24"/>
          <w:rtl w:val="0"/>
        </w:rPr>
        <w:t xml:space="preserve">Jackson, S. L. (2017). Statistics plain and simple (4th ed.). Australia: Cengage Learning.</w:t>
      </w:r>
      <w:r w:rsidDel="00000000" w:rsidR="00000000" w:rsidRPr="00000000">
        <w:rPr>
          <w:rtl w:val="0"/>
        </w:rPr>
      </w:r>
    </w:p>
    <w:sectPr>
      <w:pgSz w:h="15840" w:w="12240"/>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